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974BA7D" w14:textId="4B7455E1" w:rsidR="00C95AFD" w:rsidRPr="0027409E" w:rsidRDefault="0027409E">
      <w:pPr>
        <w:rPr>
          <w:rFonts w:cstheme="minorHAnsi"/>
          <w:sz w:val="22"/>
          <w:szCs w:val="22"/>
        </w:rPr>
      </w:pPr>
      <w:r w:rsidRPr="0027409E">
        <w:rPr>
          <w:rFonts w:cstheme="minorHAnsi"/>
          <w:sz w:val="22"/>
          <w:szCs w:val="22"/>
        </w:rPr>
        <w:t>IES 2026 Calendrier rédactionnel prévisionnel</w:t>
      </w:r>
    </w:p>
    <w:p w14:paraId="6F01FC93" w14:textId="77777777" w:rsidR="0027409E" w:rsidRPr="0027409E" w:rsidRDefault="0027409E">
      <w:pPr>
        <w:rPr>
          <w:rFonts w:cstheme="minorHAnsi"/>
          <w:sz w:val="22"/>
          <w:szCs w:val="22"/>
        </w:rPr>
      </w:pPr>
    </w:p>
    <w:p w14:paraId="3939758C" w14:textId="77777777" w:rsidR="0027409E" w:rsidRPr="0027409E" w:rsidRDefault="0027409E" w:rsidP="0027409E">
      <w:pPr>
        <w:rPr>
          <w:rFonts w:eastAsia="Times New Roman" w:cstheme="minorHAnsi"/>
          <w:sz w:val="22"/>
          <w:szCs w:val="22"/>
          <w:lang w:eastAsia="fr-FR"/>
        </w:rPr>
      </w:pPr>
      <w:r w:rsidRPr="0027409E">
        <w:rPr>
          <w:rFonts w:eastAsia="Times New Roman" w:cstheme="minorHAnsi"/>
          <w:sz w:val="22"/>
          <w:szCs w:val="22"/>
          <w:lang w:eastAsia="fr-FR"/>
        </w:rPr>
        <w:br/>
      </w:r>
    </w:p>
    <w:p w14:paraId="3C75887C" w14:textId="503A618A" w:rsidR="0089588A" w:rsidRPr="00C25571" w:rsidRDefault="0089588A" w:rsidP="0027409E">
      <w:pPr>
        <w:spacing w:after="100" w:afterAutospacing="1"/>
        <w:outlineLvl w:val="2"/>
      </w:pPr>
      <w:r>
        <w:rPr>
          <w:rFonts w:eastAsia="Times New Roman" w:cstheme="minorHAnsi"/>
          <w:b/>
          <w:bCs/>
          <w:sz w:val="22"/>
          <w:szCs w:val="22"/>
          <w:lang w:eastAsia="fr-FR"/>
        </w:rPr>
        <w:t xml:space="preserve">ITW. Intro : Vue d’ensemble </w:t>
      </w:r>
      <w:hyperlink r:id="rId5" w:history="1">
        <w:r>
          <w:rPr>
            <w:rStyle w:val="Lienhypertexte"/>
          </w:rPr>
          <w:t>gregoire.perot@3af.fr</w:t>
        </w:r>
      </w:hyperlink>
    </w:p>
    <w:p w14:paraId="4A296357" w14:textId="4831B57B" w:rsidR="0027409E" w:rsidRPr="00816B5B" w:rsidRDefault="0027409E" w:rsidP="00816B5B">
      <w:pPr>
        <w:spacing w:after="100" w:afterAutospacing="1"/>
        <w:outlineLvl w:val="2"/>
        <w:rPr>
          <w:rFonts w:eastAsia="Times New Roman" w:cstheme="minorHAnsi"/>
          <w:b/>
          <w:bCs/>
          <w:sz w:val="22"/>
          <w:szCs w:val="22"/>
          <w:lang w:eastAsia="fr-FR"/>
        </w:rPr>
      </w:pPr>
      <w:r w:rsidRPr="0027409E">
        <w:rPr>
          <w:rFonts w:eastAsia="Times New Roman" w:cstheme="minorHAnsi"/>
          <w:b/>
          <w:bCs/>
          <w:sz w:val="22"/>
          <w:szCs w:val="22"/>
          <w:lang w:eastAsia="fr-FR"/>
        </w:rPr>
        <w:t>Thème 1 : L’IA au cœur de la fonction IE : Augmentation, biais et "industrialisation du sens"</w:t>
      </w:r>
    </w:p>
    <w:p w14:paraId="70431F4A" w14:textId="27EF8DDC" w:rsidR="0027409E" w:rsidRPr="00816B5B" w:rsidRDefault="0027409E" w:rsidP="00816B5B">
      <w:pPr>
        <w:numPr>
          <w:ilvl w:val="0"/>
          <w:numId w:val="1"/>
        </w:numPr>
        <w:spacing w:after="100" w:afterAutospacing="1"/>
        <w:rPr>
          <w:rFonts w:eastAsia="Times New Roman" w:cstheme="minorHAnsi"/>
          <w:sz w:val="22"/>
          <w:szCs w:val="22"/>
          <w:lang w:eastAsia="fr-FR"/>
        </w:rPr>
      </w:pPr>
      <w:r w:rsidRPr="0027409E">
        <w:rPr>
          <w:rFonts w:eastAsia="Times New Roman" w:cstheme="minorHAnsi"/>
          <w:b/>
          <w:bCs/>
          <w:sz w:val="22"/>
          <w:szCs w:val="22"/>
          <w:lang w:eastAsia="fr-FR"/>
        </w:rPr>
        <w:t>Éclairages &amp; intervenants de référence (IES2026) :</w:t>
      </w:r>
      <w:r w:rsidRPr="0027409E">
        <w:rPr>
          <w:rFonts w:eastAsia="Times New Roman" w:cstheme="minorHAnsi"/>
          <w:sz w:val="22"/>
          <w:szCs w:val="22"/>
          <w:lang w:eastAsia="fr-FR"/>
        </w:rPr>
        <w:t xml:space="preserve"> Safran Aircraft Engines, Bridge Partner, Airbus </w:t>
      </w:r>
      <w:proofErr w:type="spellStart"/>
      <w:r w:rsidRPr="0027409E">
        <w:rPr>
          <w:rFonts w:eastAsia="Times New Roman" w:cstheme="minorHAnsi"/>
          <w:sz w:val="22"/>
          <w:szCs w:val="22"/>
          <w:lang w:eastAsia="fr-FR"/>
        </w:rPr>
        <w:t>Defence</w:t>
      </w:r>
      <w:proofErr w:type="spellEnd"/>
      <w:r w:rsidRPr="0027409E">
        <w:rPr>
          <w:rFonts w:eastAsia="Times New Roman" w:cstheme="minorHAnsi"/>
          <w:sz w:val="22"/>
          <w:szCs w:val="22"/>
          <w:lang w:eastAsia="fr-FR"/>
        </w:rPr>
        <w:t xml:space="preserve"> &amp; Space, EGE-CR451. </w:t>
      </w:r>
    </w:p>
    <w:p w14:paraId="5042A6CA" w14:textId="2C22043E" w:rsidR="0027409E" w:rsidRPr="00816B5B" w:rsidRDefault="0027409E" w:rsidP="00816B5B">
      <w:pPr>
        <w:spacing w:after="100" w:afterAutospacing="1"/>
        <w:outlineLvl w:val="2"/>
        <w:rPr>
          <w:rFonts w:eastAsia="Times New Roman" w:cstheme="minorHAnsi"/>
          <w:b/>
          <w:bCs/>
          <w:sz w:val="22"/>
          <w:szCs w:val="22"/>
          <w:lang w:eastAsia="fr-FR"/>
        </w:rPr>
      </w:pPr>
      <w:r w:rsidRPr="0027409E">
        <w:rPr>
          <w:rFonts w:eastAsia="Times New Roman" w:cstheme="minorHAnsi"/>
          <w:b/>
          <w:bCs/>
          <w:sz w:val="22"/>
          <w:szCs w:val="22"/>
          <w:lang w:eastAsia="fr-FR"/>
        </w:rPr>
        <w:t xml:space="preserve">Thème 2 : Guerre cognitive et </w:t>
      </w:r>
      <w:proofErr w:type="spellStart"/>
      <w:r w:rsidRPr="0027409E">
        <w:rPr>
          <w:rFonts w:eastAsia="Times New Roman" w:cstheme="minorHAnsi"/>
          <w:b/>
          <w:bCs/>
          <w:i/>
          <w:iCs/>
          <w:sz w:val="22"/>
          <w:szCs w:val="22"/>
          <w:lang w:eastAsia="fr-FR"/>
        </w:rPr>
        <w:t>Lawfare</w:t>
      </w:r>
      <w:proofErr w:type="spellEnd"/>
      <w:r w:rsidRPr="0027409E">
        <w:rPr>
          <w:rFonts w:eastAsia="Times New Roman" w:cstheme="minorHAnsi"/>
          <w:b/>
          <w:bCs/>
          <w:sz w:val="22"/>
          <w:szCs w:val="22"/>
          <w:lang w:eastAsia="fr-FR"/>
        </w:rPr>
        <w:t xml:space="preserve"> : Naviguer dans les zones grises et la désinformation</w:t>
      </w:r>
    </w:p>
    <w:p w14:paraId="442C1715" w14:textId="0C405FAE" w:rsidR="0027409E" w:rsidRPr="00816B5B" w:rsidRDefault="0027409E" w:rsidP="0027409E">
      <w:pPr>
        <w:numPr>
          <w:ilvl w:val="0"/>
          <w:numId w:val="2"/>
        </w:numPr>
        <w:spacing w:after="100" w:afterAutospacing="1"/>
        <w:rPr>
          <w:rFonts w:eastAsia="Times New Roman" w:cstheme="minorHAnsi"/>
          <w:sz w:val="22"/>
          <w:szCs w:val="22"/>
          <w:lang w:eastAsia="fr-FR"/>
        </w:rPr>
      </w:pPr>
      <w:r w:rsidRPr="0027409E">
        <w:rPr>
          <w:rFonts w:eastAsia="Times New Roman" w:cstheme="minorHAnsi"/>
          <w:b/>
          <w:bCs/>
          <w:sz w:val="22"/>
          <w:szCs w:val="22"/>
          <w:lang w:eastAsia="fr-FR"/>
        </w:rPr>
        <w:t>Éclairages &amp; intervenants de référence (IES2026) :</w:t>
      </w:r>
      <w:r w:rsidRPr="0027409E">
        <w:rPr>
          <w:rFonts w:eastAsia="Times New Roman" w:cstheme="minorHAnsi"/>
          <w:sz w:val="22"/>
          <w:szCs w:val="22"/>
          <w:lang w:eastAsia="fr-FR"/>
        </w:rPr>
        <w:t xml:space="preserve"> Ministère des Armées / DGA, Université Paris-Panthéon-Assas (CARISM), Université Bordeaux Montaigne. </w:t>
      </w:r>
    </w:p>
    <w:p w14:paraId="4B2195DD" w14:textId="5DC16165" w:rsidR="0027409E" w:rsidRPr="0027409E" w:rsidRDefault="0027409E" w:rsidP="0027409E">
      <w:pPr>
        <w:spacing w:after="100" w:afterAutospacing="1"/>
        <w:outlineLvl w:val="2"/>
        <w:rPr>
          <w:rFonts w:eastAsia="Times New Roman" w:cstheme="minorHAnsi"/>
          <w:b/>
          <w:bCs/>
          <w:sz w:val="22"/>
          <w:szCs w:val="22"/>
          <w:lang w:eastAsia="fr-FR"/>
        </w:rPr>
      </w:pPr>
      <w:r w:rsidRPr="0027409E">
        <w:rPr>
          <w:rFonts w:eastAsia="Times New Roman" w:cstheme="minorHAnsi"/>
          <w:b/>
          <w:bCs/>
          <w:sz w:val="22"/>
          <w:szCs w:val="22"/>
          <w:lang w:eastAsia="fr-FR"/>
        </w:rPr>
        <w:t xml:space="preserve">Thème </w:t>
      </w:r>
      <w:r>
        <w:rPr>
          <w:rFonts w:eastAsia="Times New Roman" w:cstheme="minorHAnsi"/>
          <w:b/>
          <w:bCs/>
          <w:sz w:val="22"/>
          <w:szCs w:val="22"/>
          <w:lang w:eastAsia="fr-FR"/>
        </w:rPr>
        <w:t>3</w:t>
      </w:r>
      <w:r w:rsidRPr="0027409E">
        <w:rPr>
          <w:rFonts w:eastAsia="Times New Roman" w:cstheme="minorHAnsi"/>
          <w:b/>
          <w:bCs/>
          <w:sz w:val="22"/>
          <w:szCs w:val="22"/>
          <w:lang w:eastAsia="fr-FR"/>
        </w:rPr>
        <w:t xml:space="preserve"> : Gouvernance de l'anticipation : Ludification, culture du signal et valorisation auprès du </w:t>
      </w:r>
      <w:proofErr w:type="spellStart"/>
      <w:r w:rsidRPr="0027409E">
        <w:rPr>
          <w:rFonts w:eastAsia="Times New Roman" w:cstheme="minorHAnsi"/>
          <w:b/>
          <w:bCs/>
          <w:sz w:val="22"/>
          <w:szCs w:val="22"/>
          <w:lang w:eastAsia="fr-FR"/>
        </w:rPr>
        <w:t>ComEx</w:t>
      </w:r>
      <w:proofErr w:type="spellEnd"/>
    </w:p>
    <w:p w14:paraId="627F11C8" w14:textId="77777777" w:rsidR="0027409E" w:rsidRPr="0027409E" w:rsidRDefault="0027409E" w:rsidP="0027409E">
      <w:pPr>
        <w:numPr>
          <w:ilvl w:val="0"/>
          <w:numId w:val="4"/>
        </w:numPr>
        <w:spacing w:after="100" w:afterAutospacing="1"/>
        <w:rPr>
          <w:rFonts w:eastAsia="Times New Roman" w:cstheme="minorHAnsi"/>
          <w:sz w:val="22"/>
          <w:szCs w:val="22"/>
          <w:lang w:eastAsia="fr-FR"/>
        </w:rPr>
      </w:pPr>
      <w:r w:rsidRPr="0027409E">
        <w:rPr>
          <w:rFonts w:eastAsia="Times New Roman" w:cstheme="minorHAnsi"/>
          <w:b/>
          <w:bCs/>
          <w:sz w:val="22"/>
          <w:szCs w:val="22"/>
          <w:lang w:eastAsia="fr-FR"/>
        </w:rPr>
        <w:t>Éclairages &amp; intervenants de référence (IES2026) :</w:t>
      </w:r>
      <w:r w:rsidRPr="0027409E">
        <w:rPr>
          <w:rFonts w:eastAsia="Times New Roman" w:cstheme="minorHAnsi"/>
          <w:sz w:val="22"/>
          <w:szCs w:val="22"/>
          <w:lang w:eastAsia="fr-FR"/>
        </w:rPr>
        <w:t xml:space="preserve"> Airbus </w:t>
      </w:r>
      <w:proofErr w:type="spellStart"/>
      <w:r w:rsidRPr="0027409E">
        <w:rPr>
          <w:rFonts w:eastAsia="Times New Roman" w:cstheme="minorHAnsi"/>
          <w:sz w:val="22"/>
          <w:szCs w:val="22"/>
          <w:lang w:eastAsia="fr-FR"/>
        </w:rPr>
        <w:t>Defence</w:t>
      </w:r>
      <w:proofErr w:type="spellEnd"/>
      <w:r w:rsidRPr="0027409E">
        <w:rPr>
          <w:rFonts w:eastAsia="Times New Roman" w:cstheme="minorHAnsi"/>
          <w:sz w:val="22"/>
          <w:szCs w:val="22"/>
          <w:lang w:eastAsia="fr-FR"/>
        </w:rPr>
        <w:t xml:space="preserve"> &amp; Space, CEA, CETIM, Le Coup d'Après. </w:t>
      </w:r>
    </w:p>
    <w:p w14:paraId="4CDBBA8E" w14:textId="77777777" w:rsidR="0027409E" w:rsidRPr="0027409E" w:rsidRDefault="0027409E">
      <w:pPr>
        <w:rPr>
          <w:rFonts w:cstheme="minorHAnsi"/>
          <w:sz w:val="22"/>
          <w:szCs w:val="22"/>
        </w:rPr>
      </w:pPr>
    </w:p>
    <w:sectPr w:rsidR="0027409E" w:rsidRPr="002740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AB836C2"/>
    <w:multiLevelType w:val="multilevel"/>
    <w:tmpl w:val="F8D21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7779A7"/>
    <w:multiLevelType w:val="multilevel"/>
    <w:tmpl w:val="B59A7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D0288E"/>
    <w:multiLevelType w:val="multilevel"/>
    <w:tmpl w:val="06101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E615B3"/>
    <w:multiLevelType w:val="multilevel"/>
    <w:tmpl w:val="58A4E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750156">
    <w:abstractNumId w:val="0"/>
  </w:num>
  <w:num w:numId="2" w16cid:durableId="417870509">
    <w:abstractNumId w:val="3"/>
  </w:num>
  <w:num w:numId="3" w16cid:durableId="293412974">
    <w:abstractNumId w:val="1"/>
  </w:num>
  <w:num w:numId="4" w16cid:durableId="569197752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09E"/>
    <w:rsid w:val="0027409E"/>
    <w:rsid w:val="00816B5B"/>
    <w:rsid w:val="0089588A"/>
    <w:rsid w:val="00C25571"/>
    <w:rsid w:val="00C95AFD"/>
    <w:rsid w:val="00CB3A2C"/>
    <w:rsid w:val="00CD4FB4"/>
    <w:rsid w:val="00D75838"/>
    <w:rsid w:val="00E24E0D"/>
    <w:rsid w:val="00E63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68BC221"/>
  <w15:chartTrackingRefBased/>
  <w15:docId w15:val="{CB4CF1D3-7856-5E43-85FD-14AF666A4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740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740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27409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740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7409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7409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7409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7409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7409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740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740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2740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7409E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7409E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7409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7409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7409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7409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7409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740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7409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740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7409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7409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7409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7409E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740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7409E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27409E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semiHidden/>
    <w:unhideWhenUsed/>
    <w:rsid w:val="0089588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regoire.perot@3af.f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SALA</dc:creator>
  <cp:keywords/>
  <dc:description/>
  <cp:lastModifiedBy>JACQUELINE SALA</cp:lastModifiedBy>
  <cp:revision>2</cp:revision>
  <dcterms:created xsi:type="dcterms:W3CDTF">2026-10-14T13:51:00Z</dcterms:created>
  <dcterms:modified xsi:type="dcterms:W3CDTF">2026-10-14T13:51:00Z</dcterms:modified>
</cp:coreProperties>
</file>